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color w:val="134f5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34f5c"/>
          <w:sz w:val="48"/>
          <w:szCs w:val="48"/>
          <w:rtl w:val="0"/>
        </w:rPr>
        <w:t xml:space="preserve">Communicating Water </w:t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color w:val="134f5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34f5c"/>
          <w:sz w:val="48"/>
          <w:szCs w:val="48"/>
          <w:rtl w:val="0"/>
        </w:rPr>
        <w:t xml:space="preserve">Worksheet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Upon completion, please email your worksheet to 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ambassaddor@sawpa.org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0"/>
          <w:szCs w:val="20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Name: 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Title: 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Organization: 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0"/>
          <w:szCs w:val="20"/>
        </w:rPr>
        <w:sectPr>
          <w:type w:val="continuous"/>
          <w:pgSz w:h="15840" w:w="12240" w:orient="portrait"/>
          <w:pgMar w:bottom="1440" w:top="1440" w:left="1440" w:right="1440" w:header="360" w:footer="36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Email: 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0"/>
          <w:szCs w:val="20"/>
          <w:highlight w:val="white"/>
        </w:rPr>
        <w:sectPr>
          <w:type w:val="continuous"/>
          <w:pgSz w:h="15840" w:w="12240" w:orient="portrait"/>
          <w:pgMar w:bottom="1440" w:top="1440" w:left="1440" w:right="1440" w:header="360" w:footer="360"/>
          <w:cols w:equalWidth="0" w:num="1">
            <w:col w:space="0" w:w="9360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Please confirm by checking off  that you’ve watched the following: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3.1 - Welcome and Framing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3.2 - We’re Better Together - Mutually Beneficial Partnerships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3.3 - Building Community Partnerships: A Local Perspective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3.4 - The Value of Inclusive Communications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0"/>
          <w:szCs w:val="20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3.5 - Communicating In the Spotlight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0"/>
          <w:szCs w:val="20"/>
          <w:highlight w:val="white"/>
        </w:rPr>
        <w:sectPr>
          <w:type w:val="continuous"/>
          <w:pgSz w:h="15840" w:w="12240" w:orient="portrait"/>
          <w:pgMar w:bottom="1440" w:top="1440" w:left="1440" w:right="1440" w:header="360" w:footer="36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3.6 - Closing and Instructions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0"/>
          <w:szCs w:val="20"/>
          <w:highlight w:val="yellow"/>
        </w:rPr>
        <w:sectPr>
          <w:type w:val="continuous"/>
          <w:pgSz w:h="15840" w:w="12240" w:orient="portrait"/>
          <w:pgMar w:bottom="1440" w:top="1440" w:left="1440" w:right="1440" w:header="360" w:footer="36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  <w:color w:val="134f5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34f5c"/>
          <w:rtl w:val="0"/>
        </w:rPr>
        <w:t xml:space="preserve">Communication Challenge 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b w:val="1"/>
          <w:color w:val="134f5c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What are the main challenges that your agency faces when communicating about water to your constituents and/or customers?</w:t>
            </w:r>
          </w:p>
        </w:tc>
      </w:tr>
      <w:tr>
        <w:trPr>
          <w:trHeight w:val="3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b w:val="1"/>
          <w:color w:val="134f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b w:val="1"/>
          <w:color w:val="134f5c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b w:val="1"/>
          <w:color w:val="134f5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34f5c"/>
          <w:rtl w:val="0"/>
        </w:rPr>
        <w:t xml:space="preserve">Communication Checklist </w:t>
      </w:r>
    </w:p>
    <w:tbl>
      <w:tblPr>
        <w:tblStyle w:val="Table2"/>
        <w:tblW w:w="940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3180"/>
        <w:gridCol w:w="2880"/>
        <w:gridCol w:w="0"/>
        <w:tblGridChange w:id="0">
          <w:tblGrid>
            <w:gridCol w:w="4140"/>
            <w:gridCol w:w="3180"/>
            <w:gridCol w:w="2880"/>
            <w:gridCol w:w="0"/>
          </w:tblGrid>
        </w:tblGridChange>
      </w:tblGrid>
      <w:tr>
        <w:tc>
          <w:tcPr>
            <w:gridSpan w:val="3"/>
            <w:shd w:fill="45818e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Place an “X” or “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34"/>
                <w:szCs w:val="34"/>
                <w:rtl w:val="0"/>
              </w:rPr>
              <w:t xml:space="preserve">☑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” to answer each yes / no question. Provide an explanation for why you selected yes or no.</w:t>
            </w:r>
          </w:p>
        </w:tc>
      </w:tr>
      <w:tr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Cross-Departmental Communication</w:t>
            </w:r>
          </w:p>
        </w:tc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</w:t>
            </w:r>
          </w:p>
        </w:tc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 other departments within your agency/organization have existing relationships with community groups?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23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Is messaging coordinated within and across your agency/organization to prevent mixed messaging or information fatigue?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3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33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 departments within your agency/organization coordinate on multi-lingual messaging?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38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Are you familiar with the communication strategy of other departments within your agency/organization?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36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Can you identify the community groups that other departments within your agency/organization have existing relationships with?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45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  <w:b w:val="1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3165"/>
        <w:gridCol w:w="3060"/>
        <w:gridCol w:w="0"/>
        <w:gridCol w:w="0"/>
        <w:tblGridChange w:id="0">
          <w:tblGrid>
            <w:gridCol w:w="4005"/>
            <w:gridCol w:w="3165"/>
            <w:gridCol w:w="3060"/>
            <w:gridCol w:w="0"/>
            <w:gridCol w:w="0"/>
          </w:tblGrid>
        </w:tblGridChange>
      </w:tblGrid>
      <w:tr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Cross-Jurisdictional Communication</w:t>
            </w:r>
          </w:p>
        </w:tc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</w:t>
            </w:r>
          </w:p>
        </w:tc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Have you learned from watching other jurisdictions in their communications approaches (either positively or negatively)?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60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Are you partnering with other jurisdictions on effective communication strategies?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7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</w:tbl>
    <w:p w:rsidR="00000000" w:rsidDel="00000000" w:rsidP="00000000" w:rsidRDefault="00000000" w:rsidRPr="00000000" w14:paraId="00000050">
      <w:pPr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4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3060"/>
        <w:gridCol w:w="3210"/>
        <w:tblGridChange w:id="0">
          <w:tblGrid>
            <w:gridCol w:w="3975"/>
            <w:gridCol w:w="3060"/>
            <w:gridCol w:w="3210"/>
          </w:tblGrid>
        </w:tblGridChange>
      </w:tblGrid>
      <w:tr>
        <w:trPr>
          <w:trHeight w:val="1020" w:hRule="atLeast"/>
        </w:trPr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Community Member Communication</w:t>
            </w:r>
          </w:p>
        </w:tc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Yes</w:t>
            </w:r>
          </w:p>
        </w:tc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Do clear channels exist to receive input from community members?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69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55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Can you identify who your current communication strategy is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reaching?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75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435" w:hRule="atLeast"/>
        </w:trPr>
        <w:tc>
          <w:tcPr>
            <w:gridSpan w:val="3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Can you identify who your current communication strategy is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not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reaching?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48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4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Can you identify barriers that individuals face in communicating with your agency/organization?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48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Are you aware of the preferred communication channels for the community groups you are currently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not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reaching?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⃞</w:t>
            </w:r>
          </w:p>
        </w:tc>
      </w:tr>
      <w:tr>
        <w:trPr>
          <w:trHeight w:val="18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Explanation: 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Century Gothic" w:cs="Century Gothic" w:eastAsia="Century Gothic" w:hAnsi="Century Gothic"/>
          <w:b w:val="1"/>
          <w:color w:val="134f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entury Gothic" w:cs="Century Gothic" w:eastAsia="Century Gothic" w:hAnsi="Century Gothic"/>
          <w:color w:val="134f5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34f5c"/>
          <w:rtl w:val="0"/>
        </w:rPr>
        <w:t xml:space="preserve">Refined Communication Challenge </w:t>
      </w:r>
      <w:r w:rsidDel="00000000" w:rsidR="00000000" w:rsidRPr="00000000">
        <w:rPr>
          <w:rtl w:val="0"/>
        </w:rPr>
      </w:r>
    </w:p>
    <w:tbl>
      <w:tblPr>
        <w:tblStyle w:val="Table5"/>
        <w:tblW w:w="10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95"/>
        <w:tblGridChange w:id="0">
          <w:tblGrid>
            <w:gridCol w:w="10095"/>
          </w:tblGrid>
        </w:tblGridChange>
      </w:tblGrid>
      <w:tr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Now that you've completed the self-assessment to identify strengths and weaknesses in your current communication efforts, how can you refine your communication challenge to be more specific? </w:t>
            </w:r>
          </w:p>
        </w:tc>
      </w:tr>
      <w:tr>
        <w:trPr>
          <w:trHeight w:val="32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Century Gothic" w:cs="Century Gothic" w:eastAsia="Century Gothic" w:hAnsi="Century Gothic"/>
          <w:b w:val="1"/>
          <w:color w:val="134f5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entury Gothic" w:cs="Century Gothic" w:eastAsia="Century Gothic" w:hAnsi="Century Gothic"/>
          <w:color w:val="134f5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134f5c"/>
          <w:rtl w:val="0"/>
        </w:rPr>
        <w:t xml:space="preserve">Summing It All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entury Gothic" w:cs="Century Gothic" w:eastAsia="Century Gothic" w:hAnsi="Century Gothic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10"/>
        <w:tblGridChange w:id="0">
          <w:tblGrid>
            <w:gridCol w:w="9810"/>
          </w:tblGrid>
        </w:tblGridChange>
      </w:tblGrid>
      <w:tr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What is one next step that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you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will take following this workshop?</w:t>
            </w:r>
          </w:p>
        </w:tc>
      </w:tr>
      <w:tr>
        <w:trPr>
          <w:trHeight w:val="21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What groups are you struggling to reach, and what’s the first step that you can take to get them engaged?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abcec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What are common messages or communication needs across departments and/or jurisdictions?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What are the opportunities to partner with others on resources, staffing, translation services, messaging, etc. to reach more people?</w:t>
            </w:r>
          </w:p>
        </w:tc>
      </w:tr>
      <w:tr>
        <w:trPr>
          <w:trHeight w:val="346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jc w:val="right"/>
      <w:rPr/>
    </w:pPr>
    <w:r w:rsidDel="00000000" w:rsidR="00000000" w:rsidRPr="00000000">
      <w:rPr>
        <w:rFonts w:ascii="Century Gothic" w:cs="Century Gothic" w:eastAsia="Century Gothic" w:hAnsi="Century Gothic"/>
        <w:b w:val="1"/>
        <w:color w:val="134f5c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center"/>
      <w:rPr>
        <w:rFonts w:ascii="Proxima Nova" w:cs="Proxima Nova" w:eastAsia="Proxima Nova" w:hAnsi="Proxima Nova"/>
        <w:sz w:val="24"/>
        <w:szCs w:val="24"/>
      </w:rPr>
    </w:pPr>
    <w:r w:rsidDel="00000000" w:rsidR="00000000" w:rsidRPr="00000000">
      <w:rPr>
        <w:rFonts w:ascii="Proxima Nova" w:cs="Proxima Nova" w:eastAsia="Proxima Nova" w:hAnsi="Proxima Nova"/>
        <w:sz w:val="24"/>
        <w:szCs w:val="24"/>
      </w:rPr>
      <w:drawing>
        <wp:inline distB="114300" distT="114300" distL="114300" distR="114300">
          <wp:extent cx="5943600" cy="1079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79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Century Gothic" w:cs="Century Gothic" w:eastAsia="Century Gothic" w:hAnsi="Century Gothic"/>
      <w:b w:val="1"/>
      <w:color w:val="597c7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